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357"/>
      </w:pPr>
      <w:r>
        <w:rPr>
          <w:rFonts w:ascii="Times New Roman" w:hAnsi="Times New Roman" w:cs="Times New Roman"/>
          <w:sz w:val="53"/>
          <w:sz-cs w:val="53"/>
          <w:b/>
          <w:spacing w:val="0"/>
        </w:rPr>
        <w:t xml:space="preserve">Документация проекта MathLab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Дата актуализации: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 29.03.2026</w:t>
      </w:r>
    </w:p>
    <w:p>
      <w:pPr>
        <w:spacing w:after="354"/>
      </w:pPr>
      <w:r>
        <w:rPr>
          <w:rFonts w:ascii="Times New Roman" w:hAnsi="Times New Roman" w:cs="Times New Roman"/>
          <w:sz w:val="42"/>
          <w:sz-cs w:val="42"/>
          <w:b/>
          <w:spacing w:val="0"/>
        </w:rPr>
        <w:t xml:space="preserve">1. Назначение проекта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spacing w:val="0"/>
        </w:rPr>
        <w:t xml:space="preserve">MathLab — образовательный веб-справочник по высшей математике для студентов 1-4 курсов. Проект содержит каталог теорем, разделы по анализу, алгебре, геометрии и смежным дисциплинам. Материалы ориентированы на учебное применение и содержат формулировки, доказательства, примеры и ссылки на проверенные образовательные источники.</w:t>
      </w:r>
    </w:p>
    <w:p>
      <w:pPr>
        <w:spacing w:after="354"/>
      </w:pPr>
      <w:r>
        <w:rPr>
          <w:rFonts w:ascii="Times New Roman" w:hAnsi="Times New Roman" w:cs="Times New Roman"/>
          <w:sz w:val="42"/>
          <w:sz-cs w:val="42"/>
          <w:b/>
          <w:spacing w:val="0"/>
        </w:rPr>
        <w:t xml:space="preserve">2. Технологическая база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Тип проекта: статический сайт.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Стек: HTML5, CSS3, JavaScript (vanilla).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Математическая типографика: MathJax.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Ключевые функции интерфейса: глобальный поиск, светлая/тёмная тема, навигация по учебным разделам.</w:t>
      </w:r>
    </w:p>
    <w:p>
      <w:pPr>
        <w:spacing w:after="354"/>
      </w:pPr>
      <w:r>
        <w:rPr>
          <w:rFonts w:ascii="Times New Roman" w:hAnsi="Times New Roman" w:cs="Times New Roman"/>
          <w:sz w:val="42"/>
          <w:sz-cs w:val="42"/>
          <w:b/>
          <w:spacing w:val="0"/>
        </w:rPr>
        <w:t xml:space="preserve">3. Структура содержания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Теоремы: каталог и отдельные страницы теорем.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Интегралы: теория и методы вычисления.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Производные: правила, таблицы, разборы задач.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4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Линейная алгебра и геометрия: базовые и продвинутые темы.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5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Раздел «О проекте»: документация, маршрут по курсам и ссылки на источники.</w:t>
      </w:r>
    </w:p>
    <w:p>
      <w:pPr>
        <w:spacing w:after="354"/>
      </w:pPr>
      <w:r>
        <w:rPr>
          <w:rFonts w:ascii="Times New Roman" w:hAnsi="Times New Roman" w:cs="Times New Roman"/>
          <w:sz w:val="42"/>
          <w:sz-cs w:val="42"/>
          <w:b/>
          <w:spacing w:val="0"/>
        </w:rPr>
        <w:t xml:space="preserve">4. Требования к математическому контенту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Единый формат подачи: формулировка, доказательство, применение.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Академический стиль изложения и корректная математическая нотация.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Проверяемость материалов через библиографические ссылки.</w:t>
      </w:r>
    </w:p>
    <w:p>
      <w:pPr>
        <w:spacing w:after="354"/>
      </w:pPr>
      <w:r>
        <w:rPr>
          <w:rFonts w:ascii="Times New Roman" w:hAnsi="Times New Roman" w:cs="Times New Roman"/>
          <w:sz w:val="42"/>
          <w:sz-cs w:val="42"/>
          <w:b/>
          <w:spacing w:val="0"/>
        </w:rPr>
        <w:t xml:space="preserve">5. Список литературы (по ГОСТ Р 7.0.100-2018)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Математический анализ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Зорич В. А. Математический анализ. В 2 ч. Ч. 1 : учебник для вузов / В. А. Зорич. — 10-е изд., испр. — М. : МЦНМО, 2019. — 554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Зорич В. А. Математический анализ. В 2 ч. Ч. 2 : учебник для вузов / В. А. Зорич. — 10-е изд., испр. — М. : МЦНМО, 2019. — 628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Фихтенгольц Г. М. Курс дифференциального и интегрального исчисления. В 3 т. Т. 1 / Г. М. Фихтенгольц. — 8-е изд., стер. — М. : ФИЗМАТЛИТ, 2001. — 680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4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Кудрявцев Л. Д. Курс математического анализа. В 3 т. Т. 1 / Л. Д. Кудрявцев. — М. : Дрофа, 2003. — 703 с.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Линейная алгебра и функциональный анализ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Кострикин А. И., Манин Ю. И. Линейная алгебра и геометрия : учебник для вузов / А. И. Кострикин, Ю. И. Манин. — 4-е изд., стер. — СПб. : Лань, 2008. — 303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Гельфанд И. М. Лекции по линейной алгебре / И. М. Гельфанд. — 5-е изд., испр. — М. : МЦНМО, 2010. — 320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Колмогоров А. Н., Фомин С. В. Элементы теории функций и функционального анализа / А. Н. Колмогоров, С. В. Фомин. — 7-е изд. — М. : ФИЗМАТЛИТ, 2009. — 572 с.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Теория вероятностей и статистика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Гнеденко Б. В. Курс теории вероятностей / Б. В. Гнеденко. — 8-е изд., испр. — М. : Едиториал УРСС, 2005. — 448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Ширяев А. Н. Вероятность-1 / А. Н. Ширяев. — 4-е изд., перераб. и доп. — М. : МЦНМО, 2007. — 552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Боровков А. А. Теория вероятностей / А. А. Боровков. — 6-е изд. — СПб. : Лань, 2010. — 528 с.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Теория чисел, алгебра и топология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Виноградов И. М. Основы теории чисел / И. М. Виноградов. — 10-е изд., стер. — СПб. : Лань, 2009. — 176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Курош А. Г. Курс высшей алгебры / А. Г. Курош. — 17-е изд., стер. — СПб. : Лань, 2008. — 432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Понтрягин Л. С. Основы комбинаторной топологии / Л. С. Понтрягин. — 4-е изд., стер. — М. : ФИЗМАТЛИТ, 2004. — 120 с.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Дифференциальные уравнения и геометрия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Арнольд В. И. Обыкновенные дифференциальные уравнения / В. И. Арнольд. — 8-е изд. — М. : ЛИБРОКОМ, 2009. — 336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Петровский И. Г. Лекции по теории обыкновенных дифференциальных уравнений / И. Г. Петровский. — 8-е изд. — М. : Едиториал УРСС, 2001. — 208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Степанов В. В. Курс дифференциальных уравнений / В. В. Степанов. — 6-е изд. — М. : КомКнига, 2006. — 472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4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Рашевский П. К. Риманова геометрия и тензорный анализ / П. К. Рашевский. — 4-е изд. — М. : ЛИБРОКОМ, 2010. — 664 с.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b/>
          <w:spacing w:val="0"/>
        </w:rPr>
        <w:t xml:space="preserve">Комплексный анализ</w:t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1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Лаврентьев М. А., Шабат Б. В. Методы теории функций комплексного переменного / М. А. Лаврентьев, Б. В. Шабат. — 7-е изд. — М. : Наука, 1987. — 688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2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Привалов И. И. Введение в теорию функций комплексного переменного / И. И. Привалов. — 7-е изд. — М. : ЛИБРОКОМ, 2009. — 432 с.</w:t>
      </w:r>
    </w:p>
    <w:p>
      <w:pPr>
        <w:ind w:left="720" w:first-line="-720"/>
      </w:pPr>
      <w:r>
        <w:rPr>
          <w:rFonts w:ascii="Times New Roman" w:hAnsi="Times New Roman" w:cs="Times New Roman"/>
          <w:sz w:val="37"/>
          <w:sz-cs w:val="37"/>
        </w:rPr>
        <w:t xml:space="preserve"/>
        <w:tab/>
        <w:t xml:space="preserve">3</w:t>
        <w:tab/>
        <w:t xml:space="preserve"/>
      </w:r>
      <w:r>
        <w:rPr>
          <w:rFonts w:ascii="Times New Roman" w:hAnsi="Times New Roman" w:cs="Times New Roman"/>
          <w:sz w:val="37"/>
          <w:sz-cs w:val="37"/>
          <w:spacing w:val="0"/>
        </w:rPr>
        <w:t xml:space="preserve">Маркушевич А. И. Теория аналитических функций. В 2 т. Т. 1 / А. И. Маркушевич. — 3-е изд. — М. : Наука, 1967. — 486 с.</w:t>
      </w:r>
    </w:p>
    <w:p>
      <w:pPr>
        <w:spacing w:after="354"/>
      </w:pPr>
      <w:r>
        <w:rPr>
          <w:rFonts w:ascii="Times New Roman" w:hAnsi="Times New Roman" w:cs="Times New Roman"/>
          <w:sz w:val="42"/>
          <w:sz-cs w:val="42"/>
          <w:b/>
          <w:spacing w:val="0"/>
        </w:rPr>
        <w:t xml:space="preserve">6. Примечание</w:t>
      </w:r>
    </w:p>
    <w:p>
      <w:pPr>
        <w:spacing w:after="186"/>
      </w:pPr>
      <w:r>
        <w:rPr>
          <w:rFonts w:ascii="Times New Roman" w:hAnsi="Times New Roman" w:cs="Times New Roman"/>
          <w:sz w:val="37"/>
          <w:sz-cs w:val="37"/>
          <w:spacing w:val="0"/>
        </w:rPr>
        <w:t xml:space="preserve">Документ предназначен для учебного и методического сопровождения раздела теорем MathLab. При обновлении контента сайта список источников должен обновляться синхронно в файлах проекта и в данной документации.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